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7CD91" w14:textId="5B48DC5F" w:rsidR="00602CFF" w:rsidRPr="00602CFF" w:rsidRDefault="00312BDE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</w:t>
      </w:r>
      <w:r w:rsidR="003F55E9">
        <w:rPr>
          <w:rFonts w:eastAsia="Arial Unicode MS" w:cs="Arial"/>
          <w:bCs/>
          <w:sz w:val="24"/>
        </w:rPr>
        <w:t>4</w:t>
      </w:r>
      <w:r w:rsidR="00DC6DB9">
        <w:rPr>
          <w:rFonts w:eastAsia="Arial Unicode MS" w:cs="Arial"/>
          <w:bCs/>
          <w:sz w:val="24"/>
        </w:rPr>
        <w:t>3</w:t>
      </w:r>
      <w:r w:rsidR="00280F2B">
        <w:rPr>
          <w:rFonts w:eastAsia="Arial Unicode MS" w:cs="Arial"/>
          <w:bCs/>
          <w:sz w:val="24"/>
        </w:rPr>
        <w:t>-e</w:t>
      </w:r>
      <w:r w:rsidR="00861CF2">
        <w:rPr>
          <w:rFonts w:eastAsia="Arial Unicode MS" w:cs="Arial"/>
          <w:bCs/>
          <w:sz w:val="24"/>
        </w:rPr>
        <w:t xml:space="preserve"> (e-meeting)</w:t>
      </w:r>
      <w:r>
        <w:rPr>
          <w:rFonts w:eastAsia="Arial Unicode MS" w:cs="Arial"/>
          <w:bCs/>
          <w:sz w:val="24"/>
        </w:rPr>
        <w:tab/>
      </w:r>
      <w:r w:rsidR="004053F2" w:rsidRPr="004053F2">
        <w:rPr>
          <w:rFonts w:eastAsia="Arial Unicode MS" w:cs="Arial"/>
          <w:bCs/>
          <w:sz w:val="24"/>
        </w:rPr>
        <w:t>S2-2100913</w:t>
      </w:r>
    </w:p>
    <w:p w14:paraId="7AE5FC6E" w14:textId="77777777" w:rsidR="00602CFF" w:rsidRPr="00602CFF" w:rsidRDefault="00861CF2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DC6DB9">
        <w:rPr>
          <w:rFonts w:eastAsia="Arial Unicode MS" w:cs="Arial"/>
          <w:bCs/>
          <w:sz w:val="24"/>
        </w:rPr>
        <w:t>24 Feb</w:t>
      </w:r>
      <w:r w:rsidR="00CC0937">
        <w:rPr>
          <w:rFonts w:eastAsia="Arial Unicode MS" w:cs="Arial"/>
          <w:bCs/>
          <w:sz w:val="24"/>
        </w:rPr>
        <w:t>ruary</w:t>
      </w:r>
      <w:r w:rsidR="00DC6DB9">
        <w:rPr>
          <w:rFonts w:eastAsia="Arial Unicode MS" w:cs="Arial"/>
          <w:bCs/>
          <w:sz w:val="24"/>
        </w:rPr>
        <w:t>-9 Mar</w:t>
      </w:r>
      <w:r w:rsidR="00CC0937">
        <w:rPr>
          <w:rFonts w:eastAsia="Arial Unicode MS" w:cs="Arial"/>
          <w:bCs/>
          <w:sz w:val="24"/>
        </w:rPr>
        <w:t>ch</w:t>
      </w:r>
      <w:r w:rsidR="00DC6DB9">
        <w:rPr>
          <w:rFonts w:eastAsia="Arial Unicode MS" w:cs="Arial"/>
          <w:bCs/>
          <w:sz w:val="24"/>
        </w:rPr>
        <w:t xml:space="preserve"> 2021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261A65">
        <w:rPr>
          <w:rFonts w:eastAsia="Arial Unicode MS" w:cs="Arial"/>
          <w:bCs/>
        </w:rPr>
        <w:t>0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6411F01C" w14:textId="77777777" w:rsidR="00602CFF" w:rsidRDefault="00602CFF" w:rsidP="00602CFF">
      <w:pPr>
        <w:rPr>
          <w:rFonts w:ascii="Arial" w:hAnsi="Arial" w:cs="Arial"/>
        </w:rPr>
      </w:pPr>
    </w:p>
    <w:p w14:paraId="1F354E98" w14:textId="683463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F7091F">
        <w:rPr>
          <w:rFonts w:ascii="Arial" w:hAnsi="Arial" w:cs="Arial"/>
          <w:b/>
        </w:rPr>
        <w:t>, Sennheiser</w:t>
      </w:r>
    </w:p>
    <w:p w14:paraId="5B14F0B0" w14:textId="6700B7E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7C82">
        <w:rPr>
          <w:rFonts w:ascii="Arial" w:hAnsi="Arial" w:cs="Arial"/>
          <w:b/>
        </w:rPr>
        <w:t>Group ID broadcast per SNPN</w:t>
      </w:r>
    </w:p>
    <w:p w14:paraId="4D62771D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558071F2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F1D03">
        <w:rPr>
          <w:rFonts w:ascii="Arial" w:hAnsi="Arial" w:cs="Arial"/>
          <w:b/>
        </w:rPr>
        <w:t>8.2.2</w:t>
      </w:r>
    </w:p>
    <w:p w14:paraId="3BA025A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F1D03">
        <w:rPr>
          <w:rFonts w:ascii="Arial" w:hAnsi="Arial" w:cs="Arial"/>
          <w:b/>
        </w:rPr>
        <w:t>eNPN</w:t>
      </w:r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14:paraId="09D18895" w14:textId="269C5272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91280">
        <w:rPr>
          <w:rFonts w:ascii="Arial" w:hAnsi="Arial" w:cs="Arial"/>
          <w:i/>
        </w:rPr>
        <w:t xml:space="preserve">This paper discusses </w:t>
      </w:r>
      <w:r w:rsidR="00A07C82">
        <w:rPr>
          <w:rFonts w:ascii="Arial" w:hAnsi="Arial" w:cs="Arial"/>
          <w:i/>
        </w:rPr>
        <w:t xml:space="preserve">a </w:t>
      </w:r>
      <w:r w:rsidR="00191280">
        <w:rPr>
          <w:rFonts w:ascii="Arial" w:hAnsi="Arial" w:cs="Arial"/>
          <w:i/>
        </w:rPr>
        <w:t>question on eNPN raised by RAN2 and proposes a way forward.</w:t>
      </w:r>
    </w:p>
    <w:p w14:paraId="46717AD8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828B96" w14:textId="10A67292" w:rsidR="00F52DED" w:rsidRDefault="00814FC7" w:rsidP="00814FC7">
      <w:pPr>
        <w:pStyle w:val="Heading1"/>
      </w:pPr>
      <w:r>
        <w:t>1</w:t>
      </w:r>
      <w:r>
        <w:tab/>
      </w:r>
      <w:r w:rsidR="00CD3BE6" w:rsidRPr="00814FC7">
        <w:t>Background</w:t>
      </w:r>
    </w:p>
    <w:p w14:paraId="0626E7E6" w14:textId="1F9B191F" w:rsidR="00814FC7" w:rsidRPr="00814FC7" w:rsidRDefault="00814FC7" w:rsidP="00A07C82">
      <w:r>
        <w:rPr>
          <w:lang w:val="en-US"/>
        </w:rPr>
        <w:t xml:space="preserve">In [1], RAN2 asks a </w:t>
      </w:r>
      <w:r w:rsidR="00A07C82">
        <w:rPr>
          <w:lang w:val="en-US"/>
        </w:rPr>
        <w:t>qu</w:t>
      </w:r>
      <w:r w:rsidRPr="00814FC7">
        <w:t xml:space="preserve">estion related to </w:t>
      </w:r>
      <w:r w:rsidR="00A07C82">
        <w:t xml:space="preserve">accessing </w:t>
      </w:r>
      <w:r w:rsidRPr="00814FC7">
        <w:t xml:space="preserve">SNPNs </w:t>
      </w:r>
      <w:r w:rsidR="00A07C82">
        <w:t xml:space="preserve">using a </w:t>
      </w:r>
      <w:r w:rsidRPr="00814FC7">
        <w:t xml:space="preserve">subscription </w:t>
      </w:r>
      <w:r w:rsidR="00A07C82">
        <w:t>from</w:t>
      </w:r>
      <w:r w:rsidRPr="00814FC7">
        <w:t xml:space="preserve"> a separate entity: </w:t>
      </w:r>
    </w:p>
    <w:p w14:paraId="77C50207" w14:textId="788FC518" w:rsidR="00814FC7" w:rsidRDefault="00814FC7" w:rsidP="00A07C82">
      <w:pPr>
        <w:pStyle w:val="B2"/>
      </w:pPr>
      <w:r>
        <w:t>-</w:t>
      </w:r>
      <w:r>
        <w:tab/>
      </w:r>
      <w:r w:rsidRPr="00814FC7">
        <w:t xml:space="preserve">Question 2: </w:t>
      </w:r>
      <w:bookmarkStart w:id="0" w:name="_Hlk64367564"/>
      <w:r w:rsidRPr="00814FC7">
        <w:t>Shall Group IDs be broadcasted per SNPN or per cell</w:t>
      </w:r>
      <w:bookmarkEnd w:id="0"/>
      <w:r w:rsidRPr="00814FC7">
        <w:t>?</w:t>
      </w:r>
    </w:p>
    <w:p w14:paraId="79490433" w14:textId="2747B102" w:rsidR="00C323F8" w:rsidRPr="00C323F8" w:rsidRDefault="00C323F8" w:rsidP="00C323F8">
      <w:pPr>
        <w:rPr>
          <w:lang w:val="en-US"/>
        </w:rPr>
      </w:pPr>
      <w:r>
        <w:rPr>
          <w:lang w:val="en-US"/>
        </w:rPr>
        <w:t>The following section discuss</w:t>
      </w:r>
      <w:r w:rsidR="00A07C82">
        <w:rPr>
          <w:lang w:val="en-US"/>
        </w:rPr>
        <w:t>es</w:t>
      </w:r>
      <w:r>
        <w:rPr>
          <w:lang w:val="en-US"/>
        </w:rPr>
        <w:t xml:space="preserve"> </w:t>
      </w:r>
      <w:r w:rsidR="00A07C82">
        <w:rPr>
          <w:lang w:val="en-US"/>
        </w:rPr>
        <w:t xml:space="preserve">this </w:t>
      </w:r>
      <w:r>
        <w:rPr>
          <w:lang w:val="en-US"/>
        </w:rPr>
        <w:t>question and propose</w:t>
      </w:r>
      <w:r w:rsidR="00A07C82">
        <w:rPr>
          <w:lang w:val="en-US"/>
        </w:rPr>
        <w:t>s</w:t>
      </w:r>
      <w:r>
        <w:rPr>
          <w:lang w:val="en-US"/>
        </w:rPr>
        <w:t xml:space="preserve"> a way forward.</w:t>
      </w:r>
    </w:p>
    <w:p w14:paraId="78F67F68" w14:textId="1B738046" w:rsidR="00814FC7" w:rsidRDefault="00814FC7" w:rsidP="00814FC7">
      <w:pPr>
        <w:pStyle w:val="Heading1"/>
      </w:pPr>
      <w:r>
        <w:t>2</w:t>
      </w:r>
      <w:r>
        <w:tab/>
        <w:t>Discussion</w:t>
      </w:r>
    </w:p>
    <w:p w14:paraId="30B934A9" w14:textId="455297D0" w:rsidR="0078784B" w:rsidRDefault="0078784B" w:rsidP="007C59E9">
      <w:r>
        <w:t>RAN2</w:t>
      </w:r>
      <w:r w:rsidR="00536B2D">
        <w:t>'s question</w:t>
      </w:r>
      <w:r>
        <w:t xml:space="preserve"> </w:t>
      </w:r>
      <w:r w:rsidRPr="00536B2D">
        <w:rPr>
          <w:i/>
          <w:iCs/>
        </w:rPr>
        <w:t>"Shall Group IDs be broadcasted per SNPN or per cell</w:t>
      </w:r>
      <w:r w:rsidR="00536B2D" w:rsidRPr="00536B2D">
        <w:rPr>
          <w:i/>
          <w:iCs/>
        </w:rPr>
        <w:t>?</w:t>
      </w:r>
      <w:r w:rsidRPr="00536B2D">
        <w:rPr>
          <w:i/>
          <w:iCs/>
        </w:rPr>
        <w:t>"</w:t>
      </w:r>
      <w:r>
        <w:t xml:space="preserve"> is relevant in </w:t>
      </w:r>
      <w:r w:rsidR="00536B2D">
        <w:t xml:space="preserve">the context of sharing </w:t>
      </w:r>
      <w:r>
        <w:t>an NG-RAN node between multiple SNPNs (or additionally even PLMNs).</w:t>
      </w:r>
    </w:p>
    <w:p w14:paraId="56AFC1CC" w14:textId="1C1F8425" w:rsidR="0078784B" w:rsidRDefault="0078784B" w:rsidP="00DB7591">
      <w:pPr>
        <w:rPr>
          <w:lang w:val="en-US"/>
        </w:rPr>
      </w:pPr>
      <w:r>
        <w:t xml:space="preserve">The question can therefore be translated as follows: </w:t>
      </w:r>
      <w:r w:rsidRPr="0078784B">
        <w:t xml:space="preserve">Can </w:t>
      </w:r>
      <w:r w:rsidR="00536B2D">
        <w:t xml:space="preserve">it be </w:t>
      </w:r>
      <w:r w:rsidRPr="0078784B">
        <w:t>assume</w:t>
      </w:r>
      <w:r w:rsidR="00536B2D">
        <w:t>d</w:t>
      </w:r>
      <w:r w:rsidRPr="0078784B">
        <w:t xml:space="preserve"> </w:t>
      </w:r>
      <w:r w:rsidR="00536B2D">
        <w:t xml:space="preserve">that </w:t>
      </w:r>
      <w:r w:rsidRPr="0078784B">
        <w:t>all SNPNs sharing an NG-RAN node support the same Group IDs</w:t>
      </w:r>
      <w:r w:rsidR="00536B2D">
        <w:t xml:space="preserve"> i.e. support an interconnection with the same separate entities</w:t>
      </w:r>
      <w:r w:rsidR="00CF5601">
        <w:t>,</w:t>
      </w:r>
      <w:r w:rsidR="00536B2D">
        <w:t xml:space="preserve"> for access using the credentials from those separate entities</w:t>
      </w:r>
      <w:r>
        <w:rPr>
          <w:lang w:val="en-US"/>
        </w:rPr>
        <w:t>?</w:t>
      </w:r>
    </w:p>
    <w:p w14:paraId="0C342EB9" w14:textId="4DAAD8A5" w:rsidR="00DB7591" w:rsidRDefault="00DB7591" w:rsidP="00DB7591">
      <w:r>
        <w:t>To determine whether this assumption can be made</w:t>
      </w:r>
      <w:r w:rsidR="00536B2D">
        <w:t>,</w:t>
      </w:r>
      <w:r>
        <w:t xml:space="preserve"> it is important to </w:t>
      </w:r>
      <w:r w:rsidR="00372532">
        <w:t>highlight</w:t>
      </w:r>
      <w:r>
        <w:t xml:space="preserve"> </w:t>
      </w:r>
      <w:r w:rsidR="00372532">
        <w:t xml:space="preserve">that different </w:t>
      </w:r>
      <w:r>
        <w:t xml:space="preserve">business agreements are needed (a) for RAN sharing and (b) </w:t>
      </w:r>
      <w:r w:rsidR="00372532">
        <w:t xml:space="preserve">for </w:t>
      </w:r>
      <w:r>
        <w:t>enabl</w:t>
      </w:r>
      <w:r w:rsidR="00372532">
        <w:t>ing</w:t>
      </w:r>
      <w:r>
        <w:t xml:space="preserve"> access using credentials from a separate entity.</w:t>
      </w:r>
    </w:p>
    <w:p w14:paraId="29F09EFF" w14:textId="2E45FE72" w:rsidR="00372532" w:rsidRDefault="00DB7591" w:rsidP="005413F4">
      <w:r>
        <w:t xml:space="preserve">Sharing a RAN cell </w:t>
      </w:r>
      <w:r w:rsidR="00795528">
        <w:t xml:space="preserve">between multiple operators </w:t>
      </w:r>
      <w:r>
        <w:t>requires the involved operators to formalize aspects such as site location, RAN resource split, SLAs, etc.</w:t>
      </w:r>
    </w:p>
    <w:p w14:paraId="0B69EF6D" w14:textId="6AB087B9" w:rsidR="005413F4" w:rsidRDefault="00372532" w:rsidP="005413F4">
      <w:r>
        <w:t xml:space="preserve">However, </w:t>
      </w:r>
      <w:r w:rsidR="00CA602C">
        <w:t xml:space="preserve">RAN sharing does not require involved operators to harmonize </w:t>
      </w:r>
      <w:r w:rsidR="005413F4">
        <w:t xml:space="preserve">individual </w:t>
      </w:r>
      <w:r w:rsidR="00CA602C">
        <w:t xml:space="preserve">interconnection agreements they </w:t>
      </w:r>
      <w:r w:rsidR="005413F4">
        <w:t xml:space="preserve">may </w:t>
      </w:r>
      <w:r w:rsidR="00CA602C">
        <w:t>have with 3</w:t>
      </w:r>
      <w:r w:rsidR="00CA602C" w:rsidRPr="00CA602C">
        <w:rPr>
          <w:vertAlign w:val="superscript"/>
        </w:rPr>
        <w:t>rd</w:t>
      </w:r>
      <w:r w:rsidR="00CA602C">
        <w:t xml:space="preserve"> parties</w:t>
      </w:r>
      <w:r w:rsidR="005413F4">
        <w:t xml:space="preserve">, e.g. for voice service interconnection or </w:t>
      </w:r>
      <w:r>
        <w:t xml:space="preserve">for </w:t>
      </w:r>
      <w:r w:rsidR="005413F4">
        <w:t>roaming (in case of PLMNs).</w:t>
      </w:r>
    </w:p>
    <w:p w14:paraId="514A53DD" w14:textId="42CCCB09" w:rsidR="00372532" w:rsidRDefault="00372532" w:rsidP="005413F4"/>
    <w:p w14:paraId="69B68187" w14:textId="2FF73F37" w:rsidR="005413F4" w:rsidRDefault="00355B93" w:rsidP="005413F4">
      <w:r>
        <w:lastRenderedPageBreak/>
        <w:pict w14:anchorId="10FB7A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19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14:paraId="5F1603A9" w14:textId="652AA8F6" w:rsidR="00EF62FE" w:rsidRPr="00536B2D" w:rsidRDefault="00EF62FE" w:rsidP="00536B2D">
      <w:pPr>
        <w:jc w:val="center"/>
        <w:rPr>
          <w:b/>
          <w:bCs/>
        </w:rPr>
      </w:pPr>
      <w:r w:rsidRPr="00536B2D">
        <w:rPr>
          <w:b/>
          <w:bCs/>
        </w:rPr>
        <w:t xml:space="preserve">Figure 1: </w:t>
      </w:r>
      <w:r w:rsidR="00536B2D">
        <w:rPr>
          <w:b/>
          <w:bCs/>
        </w:rPr>
        <w:t>S</w:t>
      </w:r>
      <w:r w:rsidRPr="00536B2D">
        <w:rPr>
          <w:b/>
          <w:bCs/>
        </w:rPr>
        <w:t xml:space="preserve">haring </w:t>
      </w:r>
      <w:r w:rsidR="00536B2D">
        <w:rPr>
          <w:b/>
          <w:bCs/>
        </w:rPr>
        <w:t xml:space="preserve">NG-RAN </w:t>
      </w:r>
      <w:r w:rsidR="00536B2D" w:rsidRPr="00536B2D">
        <w:rPr>
          <w:b/>
          <w:bCs/>
        </w:rPr>
        <w:t xml:space="preserve">while </w:t>
      </w:r>
      <w:r w:rsidR="00536B2D">
        <w:rPr>
          <w:b/>
          <w:bCs/>
        </w:rPr>
        <w:t>also</w:t>
      </w:r>
      <w:r w:rsidR="00536B2D" w:rsidRPr="00536B2D">
        <w:rPr>
          <w:b/>
          <w:bCs/>
        </w:rPr>
        <w:t xml:space="preserve"> allowing the sharing SNPNs to make independent interconnection agreements with other SNPNs and PLMNs. This requires support for </w:t>
      </w:r>
      <w:r w:rsidR="00CF5601">
        <w:rPr>
          <w:b/>
          <w:bCs/>
        </w:rPr>
        <w:t>Group ID</w:t>
      </w:r>
      <w:r w:rsidR="00536B2D" w:rsidRPr="00536B2D">
        <w:rPr>
          <w:b/>
          <w:bCs/>
        </w:rPr>
        <w:t xml:space="preserve"> broadcast per SNPN.</w:t>
      </w:r>
    </w:p>
    <w:p w14:paraId="0C00F07C" w14:textId="7745F181" w:rsidR="003B3632" w:rsidRDefault="00EF62FE" w:rsidP="00EF62FE">
      <w:r>
        <w:t xml:space="preserve">The same applies to SNPNs. As illustrated in Figure 1, even though multiple SNPNs are sharing an NG-RAN node, the involved SNPNs may at the same time have </w:t>
      </w:r>
      <w:r w:rsidR="00CF5601">
        <w:t>indepe</w:t>
      </w:r>
      <w:r w:rsidR="003B3632">
        <w:t>n</w:t>
      </w:r>
      <w:r w:rsidR="00CF5601">
        <w:t xml:space="preserve">dent </w:t>
      </w:r>
      <w:r>
        <w:t>interconnection agreements with different separate entities (SNPNs and PLMNs) to support access using credentials from those separate entities.</w:t>
      </w:r>
      <w:r w:rsidR="00CF5601">
        <w:t xml:space="preserve"> </w:t>
      </w:r>
      <w:r w:rsidR="003B3632">
        <w:t>This scenario can be supported if Group IDs are broadcast per SNPN.</w:t>
      </w:r>
    </w:p>
    <w:p w14:paraId="19932124" w14:textId="10C03F23" w:rsidR="003B3632" w:rsidRDefault="003B3632" w:rsidP="00EF62FE">
      <w:r>
        <w:t>I</w:t>
      </w:r>
      <w:r w:rsidR="00CF5601">
        <w:t xml:space="preserve">f Group IDs were </w:t>
      </w:r>
      <w:r>
        <w:t xml:space="preserve">instead </w:t>
      </w:r>
      <w:r w:rsidR="00CF5601">
        <w:t xml:space="preserve">broadcast per cell (as opposed to per SNPN), then a UE configured with e.g. a subscription from an SNPN that is part of Group 2 </w:t>
      </w:r>
      <w:r>
        <w:t xml:space="preserve">in Figure 1 </w:t>
      </w:r>
      <w:r w:rsidR="00CF5601">
        <w:t>may mistakenly try to register on SNPN A</w:t>
      </w:r>
      <w:r>
        <w:t xml:space="preserve"> and get rejected. </w:t>
      </w:r>
    </w:p>
    <w:p w14:paraId="247BD88D" w14:textId="52FF47D9" w:rsidR="00EF62FE" w:rsidRDefault="003B3632" w:rsidP="00EF62FE">
      <w:r>
        <w:t>In other words, Group ID broadcast per cell would require the SNPNs sharing RAN nodes to also align their interconnection agreements with other separate entities (SNPNs and PLMNs) for access using a subscription from those separate entities, which in turn is an unrealistic assumption.</w:t>
      </w:r>
    </w:p>
    <w:p w14:paraId="176BA54D" w14:textId="5494FFCD" w:rsidR="00536B2D" w:rsidRPr="00191280" w:rsidRDefault="005413F4" w:rsidP="00536B2D">
      <w:pPr>
        <w:rPr>
          <w:b/>
          <w:bCs/>
        </w:rPr>
      </w:pPr>
      <w:r w:rsidRPr="00191280">
        <w:rPr>
          <w:b/>
          <w:bCs/>
        </w:rPr>
        <w:t xml:space="preserve">Observation: </w:t>
      </w:r>
      <w:r w:rsidR="00536B2D" w:rsidRPr="00191280">
        <w:rPr>
          <w:b/>
          <w:bCs/>
        </w:rPr>
        <w:t xml:space="preserve">Enabling SNPNs to share RAN nodes while at the same allowing SNPNs to </w:t>
      </w:r>
      <w:r w:rsidR="00B858BC" w:rsidRPr="00191280">
        <w:rPr>
          <w:b/>
          <w:bCs/>
        </w:rPr>
        <w:t>independently</w:t>
      </w:r>
      <w:r w:rsidR="00536B2D" w:rsidRPr="00191280">
        <w:rPr>
          <w:b/>
          <w:bCs/>
        </w:rPr>
        <w:t xml:space="preserve"> make agreements with separate entities </w:t>
      </w:r>
      <w:r w:rsidR="003B3632">
        <w:rPr>
          <w:b/>
          <w:bCs/>
        </w:rPr>
        <w:t xml:space="preserve">for access using the credentials from those separate entities </w:t>
      </w:r>
      <w:r w:rsidR="00536B2D" w:rsidRPr="00191280">
        <w:rPr>
          <w:b/>
          <w:bCs/>
        </w:rPr>
        <w:t>requires broadcast of Group IDs per SNPN.</w:t>
      </w:r>
    </w:p>
    <w:p w14:paraId="02176246" w14:textId="4C8AE4B0" w:rsidR="005413F4" w:rsidRPr="00191280" w:rsidRDefault="00536B2D" w:rsidP="005413F4">
      <w:pPr>
        <w:rPr>
          <w:b/>
          <w:bCs/>
        </w:rPr>
      </w:pPr>
      <w:r w:rsidRPr="00191280">
        <w:rPr>
          <w:b/>
          <w:bCs/>
        </w:rPr>
        <w:t>Conclusion: Reply to RAN2 that Group IDs shall be broadcast per SNPN.</w:t>
      </w:r>
    </w:p>
    <w:p w14:paraId="3D72F1CF" w14:textId="12B3191B" w:rsidR="00814FC7" w:rsidRDefault="00C323F8" w:rsidP="00814FC7">
      <w:pPr>
        <w:pStyle w:val="Heading1"/>
      </w:pPr>
      <w:r>
        <w:t>3</w:t>
      </w:r>
      <w:r>
        <w:tab/>
      </w:r>
      <w:r w:rsidR="00814FC7">
        <w:t>Conclusion</w:t>
      </w:r>
    </w:p>
    <w:p w14:paraId="7BD6C9CB" w14:textId="2A4C65FB" w:rsidR="00A07C82" w:rsidRPr="00A07C82" w:rsidRDefault="00A07C82" w:rsidP="00A07C82">
      <w:r>
        <w:t>In line with the</w:t>
      </w:r>
      <w:r w:rsidR="009F455B">
        <w:t xml:space="preserve"> conclusion </w:t>
      </w:r>
      <w:r w:rsidR="00EC351B">
        <w:t xml:space="preserve">reached in the previous section, this paper </w:t>
      </w:r>
      <w:r w:rsidR="009F455B">
        <w:t>propos</w:t>
      </w:r>
      <w:r w:rsidR="00EC351B">
        <w:t>es</w:t>
      </w:r>
      <w:r w:rsidR="009F455B">
        <w:t xml:space="preserve"> to information RAN2 that </w:t>
      </w:r>
      <w:r w:rsidR="009F455B" w:rsidRPr="009F455B">
        <w:t>Group IDs shall be broadcast per SNPN</w:t>
      </w:r>
      <w:r w:rsidR="009F455B">
        <w:t xml:space="preserve">; see </w:t>
      </w:r>
      <w:r w:rsidR="00EC351B">
        <w:t xml:space="preserve">also </w:t>
      </w:r>
      <w:r w:rsidR="009F455B">
        <w:t xml:space="preserve">the related </w:t>
      </w:r>
      <w:r w:rsidR="00EC351B">
        <w:t xml:space="preserve">proposed </w:t>
      </w:r>
      <w:r w:rsidR="009F455B">
        <w:t>reply LS in [2].</w:t>
      </w:r>
    </w:p>
    <w:p w14:paraId="209E0D92" w14:textId="66662E17" w:rsidR="00814FC7" w:rsidRPr="00814FC7" w:rsidRDefault="009F455B" w:rsidP="009F455B">
      <w:pPr>
        <w:pStyle w:val="Heading1"/>
      </w:pPr>
      <w:r>
        <w:t>4</w:t>
      </w:r>
      <w:r>
        <w:tab/>
      </w:r>
      <w:r w:rsidR="00814FC7">
        <w:t>References</w:t>
      </w:r>
    </w:p>
    <w:p w14:paraId="262BBAA5" w14:textId="281C5E52" w:rsidR="00540868" w:rsidRDefault="00CD3BE6" w:rsidP="009F455B">
      <w:pPr>
        <w:pStyle w:val="EX"/>
        <w:rPr>
          <w:rFonts w:ascii="Arial" w:hAnsi="Arial" w:cs="Arial"/>
          <w:lang w:eastAsia="ko-KR"/>
        </w:rPr>
      </w:pPr>
      <w:r w:rsidRPr="00F03017">
        <w:rPr>
          <w:rFonts w:ascii="Arial" w:hAnsi="Arial" w:cs="Arial"/>
          <w:lang w:eastAsia="ko-KR"/>
        </w:rPr>
        <w:t>[1]</w:t>
      </w:r>
      <w:r w:rsidR="009F455B">
        <w:tab/>
        <w:t xml:space="preserve">RAN2: </w:t>
      </w:r>
      <w:r w:rsidR="009F455B" w:rsidRPr="009F455B">
        <w:t>Clarification request for eNPN features</w:t>
      </w:r>
      <w:r w:rsidR="009F455B">
        <w:t xml:space="preserve">. </w:t>
      </w:r>
      <w:r w:rsidR="009F455B" w:rsidRPr="009F455B">
        <w:t>R2-2102489</w:t>
      </w:r>
      <w:r w:rsidR="009F455B">
        <w:t>.</w:t>
      </w:r>
    </w:p>
    <w:p w14:paraId="187E2B53" w14:textId="3AFCB9A2" w:rsidR="009F455B" w:rsidRDefault="009F455B" w:rsidP="009F455B">
      <w:pPr>
        <w:pStyle w:val="EX"/>
        <w:rPr>
          <w:rFonts w:ascii="Arial" w:hAnsi="Arial" w:cs="Arial"/>
          <w:lang w:eastAsia="ko-KR"/>
        </w:rPr>
      </w:pPr>
      <w:r w:rsidRPr="00F03017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2</w:t>
      </w:r>
      <w:r w:rsidRPr="00F03017">
        <w:rPr>
          <w:rFonts w:ascii="Arial" w:hAnsi="Arial" w:cs="Arial"/>
          <w:lang w:eastAsia="ko-KR"/>
        </w:rPr>
        <w:t>]</w:t>
      </w:r>
      <w:r>
        <w:tab/>
        <w:t xml:space="preserve">Qualcomm Incorporated: </w:t>
      </w:r>
      <w:r w:rsidRPr="009F455B">
        <w:t>Reply LS on Clarification request for eNPN features</w:t>
      </w:r>
      <w:r>
        <w:t xml:space="preserve">. </w:t>
      </w:r>
      <w:r w:rsidR="00355B93" w:rsidRPr="00355B93">
        <w:t>S2-2100915</w:t>
      </w:r>
      <w:r>
        <w:t>.</w:t>
      </w:r>
    </w:p>
    <w:sectPr w:rsidR="009F455B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97295" w14:textId="77777777" w:rsidR="00080CC4" w:rsidRDefault="00080CC4">
      <w:r>
        <w:separator/>
      </w:r>
    </w:p>
  </w:endnote>
  <w:endnote w:type="continuationSeparator" w:id="0">
    <w:p w14:paraId="7AA8237E" w14:textId="77777777" w:rsidR="00080CC4" w:rsidRDefault="00080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CA417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24569">
      <w:t>1</w:t>
    </w:r>
    <w:r>
      <w:fldChar w:fldCharType="end"/>
    </w:r>
  </w:p>
  <w:p w14:paraId="107FDA5A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58A38" w14:textId="77777777" w:rsidR="00080CC4" w:rsidRDefault="00080CC4">
      <w:r>
        <w:separator/>
      </w:r>
    </w:p>
  </w:footnote>
  <w:footnote w:type="continuationSeparator" w:id="0">
    <w:p w14:paraId="331D6AF5" w14:textId="77777777" w:rsidR="00080CC4" w:rsidRDefault="00080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60967"/>
    <w:multiLevelType w:val="hybridMultilevel"/>
    <w:tmpl w:val="3DC63E4C"/>
    <w:lvl w:ilvl="0" w:tplc="5016BDC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66E79"/>
    <w:multiLevelType w:val="multilevel"/>
    <w:tmpl w:val="1B362632"/>
    <w:lvl w:ilvl="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3C19"/>
    <w:multiLevelType w:val="hybridMultilevel"/>
    <w:tmpl w:val="B7048CDA"/>
    <w:lvl w:ilvl="0" w:tplc="190A1576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44703D"/>
    <w:multiLevelType w:val="hybridMultilevel"/>
    <w:tmpl w:val="B7048CDA"/>
    <w:lvl w:ilvl="0" w:tplc="190A1576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DA11FA"/>
    <w:multiLevelType w:val="hybridMultilevel"/>
    <w:tmpl w:val="C5F00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25"/>
  </w:num>
  <w:num w:numId="5">
    <w:abstractNumId w:val="1"/>
  </w:num>
  <w:num w:numId="6">
    <w:abstractNumId w:val="24"/>
  </w:num>
  <w:num w:numId="7">
    <w:abstractNumId w:val="29"/>
  </w:num>
  <w:num w:numId="8">
    <w:abstractNumId w:val="4"/>
  </w:num>
  <w:num w:numId="9">
    <w:abstractNumId w:val="23"/>
  </w:num>
  <w:num w:numId="10">
    <w:abstractNumId w:val="11"/>
  </w:num>
  <w:num w:numId="11">
    <w:abstractNumId w:val="9"/>
  </w:num>
  <w:num w:numId="12">
    <w:abstractNumId w:val="3"/>
  </w:num>
  <w:num w:numId="13">
    <w:abstractNumId w:val="31"/>
  </w:num>
  <w:num w:numId="14">
    <w:abstractNumId w:val="19"/>
  </w:num>
  <w:num w:numId="15">
    <w:abstractNumId w:val="10"/>
  </w:num>
  <w:num w:numId="16">
    <w:abstractNumId w:val="5"/>
  </w:num>
  <w:num w:numId="17">
    <w:abstractNumId w:val="27"/>
  </w:num>
  <w:num w:numId="18">
    <w:abstractNumId w:val="0"/>
  </w:num>
  <w:num w:numId="19">
    <w:abstractNumId w:val="17"/>
  </w:num>
  <w:num w:numId="20">
    <w:abstractNumId w:val="13"/>
  </w:num>
  <w:num w:numId="21">
    <w:abstractNumId w:val="28"/>
  </w:num>
  <w:num w:numId="22">
    <w:abstractNumId w:val="8"/>
  </w:num>
  <w:num w:numId="23">
    <w:abstractNumId w:val="18"/>
  </w:num>
  <w:num w:numId="24">
    <w:abstractNumId w:val="7"/>
  </w:num>
  <w:num w:numId="25">
    <w:abstractNumId w:val="21"/>
  </w:num>
  <w:num w:numId="26">
    <w:abstractNumId w:val="30"/>
  </w:num>
  <w:num w:numId="27">
    <w:abstractNumId w:val="26"/>
  </w:num>
  <w:num w:numId="28">
    <w:abstractNumId w:val="2"/>
  </w:num>
  <w:num w:numId="29">
    <w:abstractNumId w:val="14"/>
  </w:num>
  <w:num w:numId="30">
    <w:abstractNumId w:val="6"/>
  </w:num>
  <w:num w:numId="31">
    <w:abstractNumId w:val="16"/>
  </w:num>
  <w:num w:numId="3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CC4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4ED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17D"/>
    <w:rsid w:val="00110190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38F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5AC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280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1FC6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0F2B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5D3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5480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B93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1F0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532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3632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AB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04A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D03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3C11"/>
    <w:rsid w:val="0040406B"/>
    <w:rsid w:val="00404B2C"/>
    <w:rsid w:val="004053F2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6B2D"/>
    <w:rsid w:val="00537036"/>
    <w:rsid w:val="005375A0"/>
    <w:rsid w:val="00537629"/>
    <w:rsid w:val="0053793D"/>
    <w:rsid w:val="00540141"/>
    <w:rsid w:val="00540868"/>
    <w:rsid w:val="00540AB1"/>
    <w:rsid w:val="005413F4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B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0BF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2E58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5F93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3FA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05B6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34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6B9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9FA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05F"/>
    <w:rsid w:val="0072354E"/>
    <w:rsid w:val="00723BFC"/>
    <w:rsid w:val="0072454F"/>
    <w:rsid w:val="0072499F"/>
    <w:rsid w:val="00725A1E"/>
    <w:rsid w:val="00725E8E"/>
    <w:rsid w:val="00726015"/>
    <w:rsid w:val="007268DC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60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84B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528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5F9"/>
    <w:rsid w:val="007C5812"/>
    <w:rsid w:val="007C59E9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A33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4FC7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3D40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5DB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27F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968"/>
    <w:rsid w:val="00916CAD"/>
    <w:rsid w:val="00916FC9"/>
    <w:rsid w:val="009175D3"/>
    <w:rsid w:val="00917759"/>
    <w:rsid w:val="00917E08"/>
    <w:rsid w:val="00920175"/>
    <w:rsid w:val="009202C2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55B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07C82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E79"/>
    <w:rsid w:val="00AA3F5F"/>
    <w:rsid w:val="00AA4AF4"/>
    <w:rsid w:val="00AA6A68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6E09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598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76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0B8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8BC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7A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06"/>
    <w:rsid w:val="00BC784D"/>
    <w:rsid w:val="00BC7EBE"/>
    <w:rsid w:val="00BC7F8B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3F8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4A8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02C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37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9F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60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E8C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0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6DF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560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59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6DB9"/>
    <w:rsid w:val="00DC72BD"/>
    <w:rsid w:val="00DC7DE6"/>
    <w:rsid w:val="00DD0DA4"/>
    <w:rsid w:val="00DD0E9C"/>
    <w:rsid w:val="00DD13A8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BD0"/>
    <w:rsid w:val="00E06E69"/>
    <w:rsid w:val="00E075BC"/>
    <w:rsid w:val="00E0767F"/>
    <w:rsid w:val="00E0792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3BA0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3391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EDE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1EF7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51B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49EF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2FE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C65"/>
    <w:rsid w:val="00F67D0F"/>
    <w:rsid w:val="00F67FE0"/>
    <w:rsid w:val="00F70153"/>
    <w:rsid w:val="00F7091F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0F01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B4EFA4"/>
  <w15:chartTrackingRefBased/>
  <w15:docId w15:val="{EDC3DC55-CD3E-41A2-B62A-2EEE041B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NOZchn">
    <w:name w:val="NO Zchn"/>
    <w:rsid w:val="001E1FC6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E1FC6"/>
    <w:rPr>
      <w:rFonts w:ascii="Times New Roman" w:hAnsi="Times New Roman"/>
      <w:color w:val="FF0000"/>
      <w:lang w:val="x-none"/>
    </w:rPr>
  </w:style>
  <w:style w:type="character" w:customStyle="1" w:styleId="B3Car">
    <w:name w:val="B3 Car"/>
    <w:rsid w:val="00AA6A68"/>
    <w:rPr>
      <w:rFonts w:eastAsia="Malgun Gothic"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6B36B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9D796-3CEC-4B79-90B1-0692ED51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QC_3</cp:lastModifiedBy>
  <cp:revision>3</cp:revision>
  <cp:lastPrinted>2017-11-09T01:38:00Z</cp:lastPrinted>
  <dcterms:created xsi:type="dcterms:W3CDTF">2021-02-18T15:07:00Z</dcterms:created>
  <dcterms:modified xsi:type="dcterms:W3CDTF">2021-02-18T20:19:00Z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</Properties>
</file>